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523EC6" w:rsidRPr="00523EC6">
        <w:rPr>
          <w:sz w:val="24"/>
          <w:szCs w:val="24"/>
          <w:u w:val="single"/>
        </w:rPr>
        <w:t>Управление поддержки и развития предпринимательства, агропромышленного комплекса и местной промышленности</w:t>
      </w:r>
      <w:r w:rsidR="00523EC6">
        <w:rPr>
          <w:sz w:val="24"/>
          <w:szCs w:val="24"/>
          <w:u w:val="single"/>
        </w:rPr>
        <w:t xml:space="preserve"> </w:t>
      </w:r>
      <w:r w:rsidR="00F67972" w:rsidRPr="00F67972">
        <w:rPr>
          <w:sz w:val="24"/>
          <w:szCs w:val="24"/>
          <w:u w:val="single"/>
        </w:rPr>
        <w:t>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Pr>
          <w:sz w:val="24"/>
          <w:szCs w:val="24"/>
        </w:rPr>
        <w:t xml:space="preserve"> о внесении изменений в Постановление администрации района от </w:t>
      </w:r>
      <w:r w:rsidR="009B196F" w:rsidRPr="009B196F">
        <w:rPr>
          <w:sz w:val="24"/>
          <w:szCs w:val="24"/>
        </w:rPr>
        <w:t>30.11.2021 № 2106</w:t>
      </w:r>
      <w:r w:rsidR="009B196F" w:rsidRPr="007416D9">
        <w:t xml:space="preserve"> </w:t>
      </w:r>
      <w:r w:rsidR="004665A4">
        <w:rPr>
          <w:bCs/>
          <w:sz w:val="24"/>
          <w:szCs w:val="24"/>
        </w:rPr>
        <w:t>«Об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022937" w:rsidRDefault="007B2269" w:rsidP="00781C78">
            <w:pPr>
              <w:tabs>
                <w:tab w:val="right" w:pos="9923"/>
              </w:tabs>
              <w:autoSpaceDE w:val="0"/>
              <w:autoSpaceDN w:val="0"/>
              <w:jc w:val="both"/>
              <w:rPr>
                <w:color w:val="FF0000"/>
                <w:sz w:val="24"/>
                <w:szCs w:val="24"/>
              </w:rPr>
            </w:pPr>
            <w:r w:rsidRPr="00EE6535">
              <w:rPr>
                <w:sz w:val="24"/>
                <w:szCs w:val="24"/>
              </w:rPr>
              <w:t>ц</w:t>
            </w:r>
            <w:r w:rsidR="00E25169" w:rsidRPr="00EE6535">
              <w:rPr>
                <w:sz w:val="24"/>
                <w:szCs w:val="24"/>
              </w:rPr>
              <w:t>ел</w:t>
            </w:r>
            <w:r w:rsidR="00BE3E24">
              <w:rPr>
                <w:sz w:val="24"/>
                <w:szCs w:val="24"/>
              </w:rPr>
              <w:t>ь</w:t>
            </w:r>
            <w:r w:rsidR="00781C78">
              <w:rPr>
                <w:sz w:val="24"/>
                <w:szCs w:val="24"/>
              </w:rPr>
              <w:t>ю</w:t>
            </w:r>
            <w:r w:rsidR="00E25169" w:rsidRPr="00EE6535">
              <w:rPr>
                <w:sz w:val="24"/>
                <w:szCs w:val="24"/>
              </w:rPr>
              <w:t xml:space="preserve"> </w:t>
            </w:r>
            <w:r w:rsidR="00487414" w:rsidRPr="00EE6535">
              <w:rPr>
                <w:sz w:val="24"/>
                <w:szCs w:val="24"/>
              </w:rPr>
              <w:t>Проекта является уточнение мероприятий муниципальной программы «Развитие малого и</w:t>
            </w:r>
            <w:r w:rsidRPr="00EE6535">
              <w:rPr>
                <w:sz w:val="24"/>
                <w:szCs w:val="24"/>
              </w:rPr>
              <w:t xml:space="preserve"> </w:t>
            </w:r>
            <w:r w:rsidR="00487414" w:rsidRPr="00EE6535">
              <w:rPr>
                <w:sz w:val="24"/>
                <w:szCs w:val="24"/>
              </w:rPr>
              <w:t>среднего предпринимательства, агропромышленного</w:t>
            </w:r>
            <w:r w:rsidRPr="00EE6535">
              <w:rPr>
                <w:sz w:val="24"/>
                <w:szCs w:val="24"/>
              </w:rPr>
              <w:t xml:space="preserve"> </w:t>
            </w:r>
            <w:r w:rsidR="00487414" w:rsidRPr="00EE6535">
              <w:rPr>
                <w:sz w:val="24"/>
                <w:szCs w:val="24"/>
              </w:rPr>
              <w:t>комплекса и рынков сельскохозяйственной продукции, сырья и продовольствия в Нижневартовском районе», в соответствие</w:t>
            </w:r>
            <w:r w:rsidR="00781C78">
              <w:rPr>
                <w:bCs/>
                <w:color w:val="000000"/>
              </w:rPr>
              <w:t xml:space="preserve"> </w:t>
            </w:r>
            <w:r w:rsidR="00781C78" w:rsidRPr="0048754D">
              <w:rPr>
                <w:bCs/>
                <w:color w:val="000000"/>
                <w:sz w:val="24"/>
                <w:szCs w:val="24"/>
              </w:rPr>
              <w:t xml:space="preserve">с </w:t>
            </w:r>
            <w:r w:rsidR="009B196F" w:rsidRPr="009B196F">
              <w:rPr>
                <w:sz w:val="24"/>
                <w:szCs w:val="24"/>
              </w:rPr>
              <w:t>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руководствуясь постановлением администрации района от 17.09.2021 № 1663 «О порядке разработки и реализации муниципальных программ Нижневартовского района»</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предпринимательства района</w:t>
            </w:r>
            <w:r w:rsidR="00DB5328" w:rsidRPr="00D81D83">
              <w:rPr>
                <w:sz w:val="24"/>
                <w:szCs w:val="24"/>
              </w:rPr>
              <w:t>, соответствующие условиям Федерального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7B2269" w:rsidP="009B196F">
            <w:pPr>
              <w:tabs>
                <w:tab w:val="right" w:pos="9923"/>
              </w:tabs>
              <w:autoSpaceDE w:val="0"/>
              <w:autoSpaceDN w:val="0"/>
              <w:jc w:val="both"/>
              <w:rPr>
                <w:sz w:val="24"/>
                <w:szCs w:val="24"/>
              </w:rPr>
            </w:pPr>
            <w:r w:rsidRPr="00EE6535">
              <w:rPr>
                <w:sz w:val="24"/>
                <w:szCs w:val="24"/>
              </w:rPr>
              <w:t>н</w:t>
            </w:r>
            <w:r w:rsidR="00AC731D" w:rsidRPr="00EE6535">
              <w:rPr>
                <w:sz w:val="24"/>
                <w:szCs w:val="24"/>
              </w:rPr>
              <w:t xml:space="preserve">овые обязанности </w:t>
            </w:r>
            <w:r w:rsidR="00092028" w:rsidRPr="00EE6535">
              <w:rPr>
                <w:sz w:val="24"/>
                <w:szCs w:val="24"/>
              </w:rPr>
              <w:t xml:space="preserve">и </w:t>
            </w:r>
            <w:r w:rsidR="00AC731D" w:rsidRPr="00EE6535">
              <w:rPr>
                <w:sz w:val="24"/>
                <w:szCs w:val="24"/>
              </w:rPr>
              <w:t xml:space="preserve">ограничения установлены </w:t>
            </w:r>
            <w:r w:rsidRPr="00EE6535">
              <w:rPr>
                <w:sz w:val="24"/>
                <w:szCs w:val="24"/>
              </w:rPr>
              <w:t xml:space="preserve">в соответствии </w:t>
            </w:r>
            <w:r w:rsidR="00EE6535" w:rsidRPr="00EE6535">
              <w:rPr>
                <w:sz w:val="24"/>
                <w:szCs w:val="24"/>
              </w:rPr>
              <w:t>с принятыми изменениями госпрограммы</w:t>
            </w:r>
            <w:r w:rsidR="00523EC6">
              <w:rPr>
                <w:sz w:val="24"/>
                <w:szCs w:val="24"/>
              </w:rPr>
              <w:t xml:space="preserve">, </w:t>
            </w:r>
            <w:r w:rsidRPr="00EE6535">
              <w:rPr>
                <w:sz w:val="24"/>
                <w:szCs w:val="24"/>
              </w:rPr>
              <w:t xml:space="preserve">финансируемых </w:t>
            </w:r>
            <w:r w:rsidR="00523EC6">
              <w:rPr>
                <w:sz w:val="24"/>
                <w:szCs w:val="24"/>
              </w:rPr>
              <w:t xml:space="preserve">за счет </w:t>
            </w:r>
            <w:r w:rsidR="009B196F">
              <w:rPr>
                <w:sz w:val="24"/>
                <w:szCs w:val="24"/>
              </w:rPr>
              <w:t>субсидий</w:t>
            </w:r>
            <w:r w:rsidR="00523EC6">
              <w:rPr>
                <w:sz w:val="24"/>
                <w:szCs w:val="24"/>
              </w:rPr>
              <w:t xml:space="preserve"> </w:t>
            </w:r>
            <w:r w:rsidRPr="00EE6535">
              <w:rPr>
                <w:sz w:val="24"/>
                <w:szCs w:val="24"/>
              </w:rPr>
              <w:t>из средств бюджета Ханты –</w:t>
            </w:r>
            <w:r w:rsidR="00781C78">
              <w:rPr>
                <w:sz w:val="24"/>
                <w:szCs w:val="24"/>
              </w:rPr>
              <w:t xml:space="preserve"> </w:t>
            </w:r>
            <w:r w:rsidRPr="00EE6535">
              <w:rPr>
                <w:sz w:val="24"/>
                <w:szCs w:val="24"/>
              </w:rPr>
              <w:t>Мансийского автономного округа – Югры»</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237EE1" w:rsidP="00022937">
            <w:pPr>
              <w:tabs>
                <w:tab w:val="right" w:pos="9923"/>
              </w:tabs>
              <w:autoSpaceDE w:val="0"/>
              <w:autoSpaceDN w:val="0"/>
              <w:jc w:val="both"/>
              <w:rPr>
                <w:sz w:val="24"/>
                <w:szCs w:val="24"/>
              </w:rPr>
            </w:pPr>
            <w:r>
              <w:rPr>
                <w:sz w:val="24"/>
                <w:szCs w:val="24"/>
              </w:rPr>
              <w:t>ф</w:t>
            </w:r>
            <w:r w:rsidR="009B196F">
              <w:rPr>
                <w:sz w:val="24"/>
                <w:szCs w:val="24"/>
              </w:rPr>
              <w:t>евраль</w:t>
            </w:r>
            <w:r>
              <w:rPr>
                <w:sz w:val="24"/>
                <w:szCs w:val="24"/>
              </w:rPr>
              <w:t>-март</w:t>
            </w:r>
            <w:r w:rsidR="009B196F">
              <w:rPr>
                <w:sz w:val="24"/>
                <w:szCs w:val="24"/>
              </w:rPr>
              <w:t xml:space="preserve"> 2022</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w:t>
      </w:r>
      <w:r w:rsidR="009B196F">
        <w:rPr>
          <w:sz w:val="24"/>
          <w:szCs w:val="24"/>
        </w:rPr>
        <w:t>203.</w:t>
      </w:r>
    </w:p>
    <w:p w:rsidR="0043156B" w:rsidRDefault="003A7FFE" w:rsidP="0043156B">
      <w:pPr>
        <w:autoSpaceDE w:val="0"/>
        <w:autoSpaceDN w:val="0"/>
        <w:jc w:val="both"/>
        <w:rPr>
          <w:sz w:val="24"/>
          <w:szCs w:val="24"/>
        </w:rPr>
      </w:pPr>
      <w:r w:rsidRPr="006A787A">
        <w:rPr>
          <w:sz w:val="24"/>
          <w:szCs w:val="24"/>
        </w:rPr>
        <w:lastRenderedPageBreak/>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t xml:space="preserve">Колесова Татьяна Анатольевна, ведущий специалист, тел. 8(3466)494770, </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9B196F">
        <w:rPr>
          <w:sz w:val="24"/>
          <w:szCs w:val="24"/>
        </w:rPr>
        <w:t>04</w:t>
      </w:r>
      <w:r w:rsidRPr="006A787A">
        <w:rPr>
          <w:sz w:val="24"/>
          <w:szCs w:val="24"/>
        </w:rPr>
        <w:t>»</w:t>
      </w:r>
      <w:r w:rsidR="00E2029B">
        <w:rPr>
          <w:sz w:val="24"/>
          <w:szCs w:val="24"/>
        </w:rPr>
        <w:t xml:space="preserve"> </w:t>
      </w:r>
      <w:r w:rsidR="009B196F">
        <w:rPr>
          <w:sz w:val="24"/>
          <w:szCs w:val="24"/>
        </w:rPr>
        <w:t>февраля</w:t>
      </w:r>
      <w:r w:rsidR="00E2029B">
        <w:rPr>
          <w:sz w:val="24"/>
          <w:szCs w:val="24"/>
        </w:rPr>
        <w:t xml:space="preserve"> 20</w:t>
      </w:r>
      <w:r w:rsidR="00523EC6">
        <w:rPr>
          <w:sz w:val="24"/>
          <w:szCs w:val="24"/>
        </w:rPr>
        <w:t>2</w:t>
      </w:r>
      <w:r w:rsidR="009B196F">
        <w:rPr>
          <w:sz w:val="24"/>
          <w:szCs w:val="24"/>
        </w:rPr>
        <w:t>2</w:t>
      </w:r>
      <w:r w:rsidR="00523EC6">
        <w:rPr>
          <w:sz w:val="24"/>
          <w:szCs w:val="24"/>
        </w:rPr>
        <w:t xml:space="preserve"> </w:t>
      </w:r>
      <w:r w:rsidRPr="006A787A">
        <w:rPr>
          <w:sz w:val="24"/>
          <w:szCs w:val="24"/>
        </w:rPr>
        <w:t>г. по «</w:t>
      </w:r>
      <w:r w:rsidR="009B549C">
        <w:rPr>
          <w:sz w:val="24"/>
          <w:szCs w:val="24"/>
        </w:rPr>
        <w:t>1</w:t>
      </w:r>
      <w:r w:rsidR="00AA55AF">
        <w:rPr>
          <w:sz w:val="24"/>
          <w:szCs w:val="24"/>
        </w:rPr>
        <w:t>7</w:t>
      </w:r>
      <w:bookmarkStart w:id="0" w:name="_GoBack"/>
      <w:bookmarkEnd w:id="0"/>
      <w:r w:rsidRPr="006A787A">
        <w:rPr>
          <w:sz w:val="24"/>
          <w:szCs w:val="24"/>
        </w:rPr>
        <w:t>»</w:t>
      </w:r>
      <w:r w:rsidR="00E2029B">
        <w:rPr>
          <w:sz w:val="24"/>
          <w:szCs w:val="24"/>
        </w:rPr>
        <w:t xml:space="preserve"> </w:t>
      </w:r>
      <w:r w:rsidR="00523EC6">
        <w:rPr>
          <w:sz w:val="24"/>
          <w:szCs w:val="24"/>
        </w:rPr>
        <w:t>февраля</w:t>
      </w:r>
      <w:r w:rsidR="00E2029B">
        <w:rPr>
          <w:sz w:val="24"/>
          <w:szCs w:val="24"/>
        </w:rPr>
        <w:t xml:space="preserve"> 20</w:t>
      </w:r>
      <w:r w:rsidR="00523EC6">
        <w:rPr>
          <w:sz w:val="24"/>
          <w:szCs w:val="24"/>
        </w:rPr>
        <w:t>2</w:t>
      </w:r>
      <w:r w:rsidR="009B196F">
        <w:rPr>
          <w:sz w:val="24"/>
          <w:szCs w:val="24"/>
        </w:rPr>
        <w:t>2</w:t>
      </w:r>
      <w:r w:rsidR="00523EC6">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4E2FFF"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4E2FFF"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9B196F" w:rsidRPr="009B196F">
              <w:rPr>
                <w:sz w:val="24"/>
                <w:szCs w:val="24"/>
              </w:rPr>
              <w:t xml:space="preserve">30.11.2021 № 2106 </w:t>
            </w:r>
            <w:r w:rsidR="009B196F" w:rsidRPr="009B196F">
              <w:rPr>
                <w:bCs/>
                <w:sz w:val="24"/>
                <w:szCs w:val="24"/>
              </w:rPr>
              <w:t>«</w:t>
            </w:r>
            <w:r w:rsidR="00865BD0">
              <w:rPr>
                <w:bCs/>
                <w:sz w:val="24"/>
                <w:szCs w:val="24"/>
              </w:rPr>
              <w:t>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FFF" w:rsidRDefault="004E2FFF">
      <w:r>
        <w:separator/>
      </w:r>
    </w:p>
  </w:endnote>
  <w:endnote w:type="continuationSeparator" w:id="0">
    <w:p w:rsidR="004E2FFF" w:rsidRDefault="004E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FFF" w:rsidRDefault="004E2FFF">
      <w:r>
        <w:separator/>
      </w:r>
    </w:p>
  </w:footnote>
  <w:footnote w:type="continuationSeparator" w:id="0">
    <w:p w:rsidR="004E2FFF" w:rsidRDefault="004E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237EE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4D2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2FFF"/>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0309"/>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55AF"/>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AD7A4"/>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1311-22E0-4315-BC5D-4BB419D5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10</cp:revision>
  <cp:lastPrinted>2022-02-22T04:54:00Z</cp:lastPrinted>
  <dcterms:created xsi:type="dcterms:W3CDTF">2021-01-19T10:47:00Z</dcterms:created>
  <dcterms:modified xsi:type="dcterms:W3CDTF">2022-11-25T06:13:00Z</dcterms:modified>
</cp:coreProperties>
</file>